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 xml:space="preserve">MODULE CONTENT</w:t>
      </w:r>
    </w:p>
    <w:p w:rsidR="00000000" w:rsidDel="00000000" w:rsidP="00000000" w:rsidRDefault="00000000" w:rsidRPr="00000000" w14:paraId="00000002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7776"/>
        <w:tblGridChange w:id="0">
          <w:tblGrid>
            <w:gridCol w:w="2448"/>
            <w:gridCol w:w="77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Unit of Competency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4">
            <w:pPr>
              <w:spacing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DIAGNOSE AND REPAIR BODY ELECTRICAL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Module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DIAGNOSING AND REPAIRING BODY ELECTRICAL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" w:hRule="atLeast"/>
          <w:tblHeader w:val="0"/>
        </w:trPr>
        <w:tc>
          <w:tcPr/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Module Descriptor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This unit covers the knowledge, skills and attitudes </w:t>
            </w:r>
          </w:p>
          <w:p w:rsidR="00000000" w:rsidDel="00000000" w:rsidP="00000000" w:rsidRDefault="00000000" w:rsidRPr="00000000" w14:paraId="0000000A">
            <w:pPr>
              <w:spacing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required to diagnose and repair body electrical system </w:t>
            </w:r>
          </w:p>
          <w:p w:rsidR="00000000" w:rsidDel="00000000" w:rsidP="00000000" w:rsidRDefault="00000000" w:rsidRPr="00000000" w14:paraId="0000000B">
            <w:pPr>
              <w:spacing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such as lighting, wiper, door locks, power window, horn, </w:t>
            </w:r>
          </w:p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accessories and other electrical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Nominal Duration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rtl w:val="0"/>
              </w:rPr>
              <w:t xml:space="preserve">hours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ind w:left="720" w:firstLine="0"/>
              <w:rPr>
                <w:rFonts w:ascii="Cambria" w:cs="Cambria" w:eastAsia="Cambria" w:hAnsi="Cambria"/>
                <w:b w:val="1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Summary of the Learning Outcomes: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ind w:left="144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Upon completion of this module the student must be able to: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LO1.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Prepare to diagnose and repair body electrical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LO2. Diagnose body electrical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LO3.  Repair body electrical system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LO4.  Complete work processes</w:t>
            </w:r>
          </w:p>
        </w:tc>
      </w:tr>
    </w:tbl>
    <w:p w:rsidR="00000000" w:rsidDel="00000000" w:rsidP="00000000" w:rsidRDefault="00000000" w:rsidRPr="00000000" w14:paraId="0000001B">
      <w:pPr>
        <w:spacing w:line="276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120"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40" w:lineRule="auto"/>
        <w:jc w:val="center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EXPERIENCES</w:t>
      </w:r>
    </w:p>
    <w:p w:rsidR="00000000" w:rsidDel="00000000" w:rsidP="00000000" w:rsidRDefault="00000000" w:rsidRPr="00000000" w14:paraId="0000002B">
      <w:pPr>
        <w:spacing w:line="240" w:lineRule="auto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OUTCOMES NO. 2  </w:t>
      </w:r>
    </w:p>
    <w:p w:rsidR="00000000" w:rsidDel="00000000" w:rsidP="00000000" w:rsidRDefault="00000000" w:rsidRPr="00000000" w14:paraId="0000002D">
      <w:pPr>
        <w:spacing w:line="240" w:lineRule="auto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REPAIR BODY ELECTRICAL SYSTEM</w:t>
      </w:r>
    </w:p>
    <w:p w:rsidR="00000000" w:rsidDel="00000000" w:rsidP="00000000" w:rsidRDefault="00000000" w:rsidRPr="00000000" w14:paraId="0000002F">
      <w:pPr>
        <w:spacing w:line="240" w:lineRule="auto"/>
        <w:jc w:val="center"/>
        <w:rPr>
          <w:rFonts w:ascii="Cambria" w:cs="Cambria" w:eastAsia="Cambria" w:hAnsi="Cambria"/>
          <w:b w:val="1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4"/>
        <w:gridCol w:w="5076"/>
        <w:tblGridChange w:id="0">
          <w:tblGrid>
            <w:gridCol w:w="5184"/>
            <w:gridCol w:w="50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Read Information Sheet 3.1-1 Repair body electrical system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If you have some problem with the content of the information sheet don’t hesitate to approach your Trainer.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both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If you feel that you are now knowledgeable on the content of the information sheet, you can now answer the self-check provided in the module.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Answer Self-Check 3.1-1 on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Repair body electrical system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Try to answer the Self-check without looking at the Answer Key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Compare your answer to Answer Key 3.1-1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Observe Trainer’s demonstration on Task Sheet 3.1-1   on Repair body electrical system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Listen carefully and attentively so that you may be able to perform a task correctly</w:t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Ask questions if are in doubt for clarification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Perform the Task Sheet 3.1-1 on Repair body electrical system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8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Remember the step-by-step procedure of the </w:t>
            </w: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Repair body electrical system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A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jc w:val="both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Evaluate the performance using the Performance Criteria Checklist  3.1-1</w:t>
            </w:r>
          </w:p>
          <w:p w:rsidR="00000000" w:rsidDel="00000000" w:rsidP="00000000" w:rsidRDefault="00000000" w:rsidRPr="00000000" w14:paraId="0000004C">
            <w:pPr>
              <w:spacing w:line="240" w:lineRule="auto"/>
              <w:jc w:val="both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Cambria" w:cs="Cambria" w:eastAsia="Cambria" w:hAnsi="Cambria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Repeat the task in case fail to meet the criteria</w:t>
            </w:r>
          </w:p>
        </w:tc>
      </w:tr>
    </w:tbl>
    <w:p w:rsidR="00000000" w:rsidDel="00000000" w:rsidP="00000000" w:rsidRDefault="00000000" w:rsidRPr="00000000" w14:paraId="0000004F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center"/>
        <w:rPr>
          <w:rFonts w:ascii="Cambria" w:cs="Cambria" w:eastAsia="Cambria" w:hAnsi="Cambria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center"/>
        <w:rPr>
          <w:rFonts w:ascii="Cambria" w:cs="Cambria" w:eastAsia="Cambria" w:hAnsi="Cambria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rPr>
          <w:rFonts w:ascii="Cambria" w:cs="Cambria" w:eastAsia="Cambria" w:hAnsi="Cambria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ind w:left="1440" w:firstLine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INFORMATION SHEET 1.1-1</w:t>
      </w:r>
    </w:p>
    <w:p w:rsidR="00000000" w:rsidDel="00000000" w:rsidP="00000000" w:rsidRDefault="00000000" w:rsidRPr="00000000" w14:paraId="00000064">
      <w:pPr>
        <w:spacing w:line="240" w:lineRule="auto"/>
        <w:jc w:val="center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REPAIR BODY ELECTRICAL SYSTEM</w:t>
      </w:r>
    </w:p>
    <w:p w:rsidR="00000000" w:rsidDel="00000000" w:rsidP="00000000" w:rsidRDefault="00000000" w:rsidRPr="00000000" w14:paraId="00000066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spacing w:line="240" w:lineRule="auto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spacing w:line="36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Learning Objectives:</w:t>
      </w:r>
    </w:p>
    <w:p w:rsidR="00000000" w:rsidDel="00000000" w:rsidP="00000000" w:rsidRDefault="00000000" w:rsidRPr="00000000" w14:paraId="0000006B">
      <w:pPr>
        <w:spacing w:line="360" w:lineRule="auto"/>
        <w:ind w:left="360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After reading this </w:t>
      </w:r>
      <w:r w:rsidDel="00000000" w:rsidR="00000000" w:rsidRPr="00000000">
        <w:rPr>
          <w:rFonts w:ascii="Cambria" w:cs="Cambria" w:eastAsia="Cambria" w:hAnsi="Cambria"/>
          <w:b w:val="1"/>
          <w:rtl w:val="0"/>
        </w:rPr>
        <w:t xml:space="preserve">Information Sheet</w:t>
      </w:r>
      <w:r w:rsidDel="00000000" w:rsidR="00000000" w:rsidRPr="00000000">
        <w:rPr>
          <w:rFonts w:ascii="Cambria" w:cs="Cambria" w:eastAsia="Cambria" w:hAnsi="Cambria"/>
          <w:rtl w:val="0"/>
        </w:rPr>
        <w:t xml:space="preserve">, you must be able to:</w:t>
      </w:r>
    </w:p>
    <w:p w:rsidR="00000000" w:rsidDel="00000000" w:rsidP="00000000" w:rsidRDefault="00000000" w:rsidRPr="00000000" w14:paraId="0000006C">
      <w:pPr>
        <w:spacing w:line="360" w:lineRule="auto"/>
        <w:ind w:left="360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Solder of wires</w:t>
      </w:r>
    </w:p>
    <w:p w:rsidR="00000000" w:rsidDel="00000000" w:rsidP="00000000" w:rsidRDefault="00000000" w:rsidRPr="00000000" w14:paraId="0000006E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Replace fuse, relays, switches and bulbs</w:t>
      </w:r>
    </w:p>
    <w:p w:rsidR="00000000" w:rsidDel="00000000" w:rsidP="00000000" w:rsidRDefault="00000000" w:rsidRPr="00000000" w14:paraId="0000006F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Replace assembly components</w:t>
      </w:r>
    </w:p>
    <w:p w:rsidR="00000000" w:rsidDel="00000000" w:rsidP="00000000" w:rsidRDefault="00000000" w:rsidRPr="00000000" w14:paraId="00000070">
      <w:pPr>
        <w:spacing w:line="240" w:lineRule="auto"/>
        <w:ind w:left="1800" w:right="64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ind w:left="1800" w:right="644" w:firstLine="0"/>
        <w:jc w:val="both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line="240" w:lineRule="auto"/>
        <w:ind w:left="1800" w:right="644" w:firstLine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line="240" w:lineRule="auto"/>
        <w:ind w:left="1800" w:right="644" w:firstLine="0"/>
        <w:jc w:val="both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spacing w:line="276" w:lineRule="auto"/>
        <w:ind w:left="360" w:firstLine="0"/>
        <w:jc w:val="center"/>
        <w:rPr>
          <w:rFonts w:ascii="Cambria" w:cs="Cambria" w:eastAsia="Cambria" w:hAnsi="Cambria"/>
          <w:b w:val="1"/>
          <w:highlight w:val="white"/>
        </w:rPr>
      </w:pPr>
      <w:r w:rsidDel="00000000" w:rsidR="00000000" w:rsidRPr="00000000">
        <w:rPr>
          <w:rFonts w:ascii="Cambria" w:cs="Cambria" w:eastAsia="Cambria" w:hAnsi="Cambria"/>
          <w:b w:val="1"/>
          <w:highlight w:val="white"/>
          <w:rtl w:val="0"/>
        </w:rPr>
        <w:t xml:space="preserve">BODY ELECTRICAL SYSTEM</w:t>
      </w:r>
    </w:p>
    <w:p w:rsidR="00000000" w:rsidDel="00000000" w:rsidP="00000000" w:rsidRDefault="00000000" w:rsidRPr="00000000" w14:paraId="00000075">
      <w:pPr>
        <w:spacing w:line="276" w:lineRule="auto"/>
        <w:ind w:left="360" w:firstLine="0"/>
        <w:jc w:val="center"/>
        <w:rPr>
          <w:rFonts w:ascii="Cambria" w:cs="Cambria" w:eastAsia="Cambria" w:hAnsi="Cambr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240" w:before="240" w:lineRule="auto"/>
        <w:rPr/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The lighting system provides power to both exterior and interior lights. It consists of the headlights, parking lights, marker lights, taillights, courtesy lights, dome/map lights, instrument illuminator or dash lights, coach lights (if so equipped), headlight switch, and various other control switches (Figure 20 – 1). Other lights, such as vanity mirror lights, the underhood light, are used on some vehicles and are also part of the lighting system.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